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5E" w:rsidRDefault="00B413AA" w:rsidP="00B41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3AA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B413AA" w:rsidRPr="00B413AA" w:rsidRDefault="00B413AA" w:rsidP="00A3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13AA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A36A08" w:rsidRPr="00B413AA" w:rsidRDefault="00A36A08" w:rsidP="00A3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13AA">
        <w:rPr>
          <w:rFonts w:ascii="Times New Roman" w:hAnsi="Times New Roman"/>
          <w:b/>
          <w:sz w:val="24"/>
          <w:szCs w:val="24"/>
          <w:u w:val="single"/>
        </w:rPr>
        <w:t>за май 2017 года</w:t>
      </w:r>
    </w:p>
    <w:p w:rsidR="00A36A08" w:rsidRPr="001F4FD0" w:rsidRDefault="00A36A08" w:rsidP="00A36A08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2551"/>
        <w:gridCol w:w="1560"/>
        <w:gridCol w:w="1559"/>
        <w:gridCol w:w="2268"/>
        <w:gridCol w:w="1134"/>
        <w:gridCol w:w="1843"/>
        <w:gridCol w:w="1275"/>
        <w:gridCol w:w="1701"/>
      </w:tblGrid>
      <w:tr w:rsidR="00A36A08" w:rsidRPr="00693EAA" w:rsidTr="00826794">
        <w:trPr>
          <w:trHeight w:val="25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B413AA" w:rsidRDefault="00A36A08" w:rsidP="00C97C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B413AA" w:rsidRDefault="00A36A08" w:rsidP="00C97C3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B413AA" w:rsidRDefault="00A36A08" w:rsidP="00C97C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или контрольно-надзорного органа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B413AA" w:rsidRDefault="00A36A08" w:rsidP="00C97C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A36A08" w:rsidRPr="00B413AA" w:rsidRDefault="00A36A08" w:rsidP="00C97C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B413AA" w:rsidRDefault="00A36A08" w:rsidP="00C97C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B413AA" w:rsidRDefault="00A36A08" w:rsidP="00C97C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B413AA" w:rsidRDefault="00A36A08" w:rsidP="00C9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A36A08" w:rsidRPr="00B413AA" w:rsidRDefault="00A36A08" w:rsidP="00C9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A36A08" w:rsidRPr="00B413AA" w:rsidRDefault="00A36A08" w:rsidP="00C97C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B413AA" w:rsidRDefault="00A36A08" w:rsidP="00C97C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A36A08" w:rsidRPr="00B413AA" w:rsidRDefault="00A36A08" w:rsidP="00C9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B413AA" w:rsidRDefault="00A36A08" w:rsidP="00C97C3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A36A08" w:rsidRPr="00B413AA" w:rsidTr="00826794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100/28 от 21.04.17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9C52D3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РФ в сфере санитарно-эпидемиологического благополучия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12000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24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 100/28 от 21.04.17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08" w:rsidRPr="00B413AA" w:rsidRDefault="009C52D3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Фахрутдинова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Н.М.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РФ в сфере санитарно-эпидемиологического благополучия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08" w:rsidRPr="00B413AA" w:rsidRDefault="00C97C38" w:rsidP="00C97C38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57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 100/28 от 21.04.17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9C52D3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зам АХЧ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Римиева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Р.Т.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РФ в сфере санитарно-эпидемиологического благополучия населения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53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 100/28 от 21.04.17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9C52D3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МБОУ «СОШ №6»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зав столовой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Хаматзянова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Г.Н.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Представление об устранении нарушений законодательства РФ в сфере санитарно-эпидемиологического благополучия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5000 руб.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410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 015/2017-КМ от 27.03.17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Шамшудинова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Г.Н.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 6 по Нижнекамскому судебному району РТ вынесено поста</w:t>
            </w:r>
            <w:r w:rsidR="00C97C38" w:rsidRPr="00B413AA">
              <w:rPr>
                <w:rFonts w:ascii="Times New Roman" w:hAnsi="Times New Roman"/>
                <w:sz w:val="18"/>
                <w:szCs w:val="18"/>
              </w:rPr>
              <w:t>новление  от 04.05.17 об админи</w:t>
            </w:r>
            <w:r w:rsidRPr="00B413AA">
              <w:rPr>
                <w:rFonts w:ascii="Times New Roman" w:hAnsi="Times New Roman"/>
                <w:sz w:val="18"/>
                <w:szCs w:val="18"/>
              </w:rPr>
              <w:t>стративном наказании в виде штрафа в размере 5000 рублей.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 016/2017-КМ от 27.03.17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«Детская школа искусств»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Бухгалтер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Шарифуллина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Ф.И.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 6 по Нижнекамскому судебному району РТ от 04.05.17 об административном наказании в виде штрафа в размере 5000 рублей.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254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 029/2017-КМ, №030/2017-КМ от 27.03.17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СДЮТиЭ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Директор Булатов И.Ф.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 4 по Нижнекамскому судебному району РТ вынесено постановление   от 05.05.17 об административном наказании в виде штрафа в размере 10000 рублей.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693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№031/2017-КМ, №032/2017-КМ от 27.03.17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СДЮТиЭ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Главный бухгалтер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Кашапова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А.Г..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Мировым судьей судебного участка № 4 по Нижнекамскому судебному району РТ вынесено постановление  от 05.05.17 об административном №031наказании в виде штрафа в размере 10000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рублей.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C97C38">
        <w:trPr>
          <w:trHeight w:val="557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№012/2017-КМ,</w:t>
            </w:r>
          </w:p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№013/2017-КМ, №014/2017-КМ от 27.03.2017.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ДТДиМ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им.И.Х.Садыкова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Главный бухгалтер</w:t>
            </w:r>
          </w:p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Балобанова О.М.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№3 по Нижнекамскому судебному району РТ вынесено постановление  от 03.05.17 об административном наказании в виде штрафа в размере 15000 рублей.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№009/2017-КМ, №010/2017-КМ, №011/2017-КМ от 27.03.2017.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ДТДиМ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им.И.Х.Садыкова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Салихзянов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Р.Н.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 3 по Нижнекамскому судебному району РТ вынесено постановление  от 03.05.17 об административном наказании в виде штрафа в размере 15000 рублей.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 226/28 от 29.03.17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</w:t>
            </w:r>
            <w:r w:rsidRPr="00B413AA">
              <w:rPr>
                <w:rFonts w:ascii="Times New Roman" w:hAnsi="Times New Roman"/>
                <w:sz w:val="18"/>
                <w:szCs w:val="18"/>
              </w:rPr>
              <w:softHyphen/>
              <w:t>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«ЦВР» для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Директор Санникова З.А.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 организована в 2016г. вакцинация работников против гриппа, не проведена ревакцинация против дифтерии и столбняка, не привиты против вирусного гепатита В, против кори; не проводятся профессиональная гигиеническая подготовка и аттестация работников при приеме на работу; отсутствует программа производственного контроля за соблюдением требований санитарных правил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29.03.17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</w:t>
            </w:r>
            <w:r w:rsidRPr="00B413AA">
              <w:rPr>
                <w:rFonts w:ascii="Times New Roman" w:hAnsi="Times New Roman"/>
                <w:sz w:val="18"/>
                <w:szCs w:val="18"/>
              </w:rPr>
              <w:softHyphen/>
              <w:t>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«ЦВР» для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Директор Санникова З.А.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Исполнителем не доведена до сведения потребителя информация о месте нахождения организации, режиме ее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5000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 А65-1688/2017 от 09.02.17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8D4C6C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Пенсионного фонда РФ в Нижнекамском районе и г. Нижнекамск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«ЦВР» для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Директор Санникова З.А.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За нарушение законодательства об индивидуальном (персонифицированном) учете в системе обязательного пенсионного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35000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№55-258/17, №55-259/17 от 17.05.17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«ЦВР» для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Директор Санникова З.А.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 5 по Нижнекамскому судебному району РТ вынесено постановление  от 05.05.17 об административном наказании в виде штрафа в размере 10000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№55-261/17, №55-260/17 от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от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17.05.17 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«ЦВР» для одаренных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Главный бухгалтер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Каржавкина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Г.Н.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 5 по Нижнекамскому судебному району РТ вынесено постановление  от 05.05.17 об административном наказании в виде штрафа в размере 10000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№511–366/17, №511–365/17 от21.04.17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МАУ     ДО «ЦД(Ю)ТТ»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Хайдаров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Р.Р.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Мировым судьей судебного участка № 11 по Нижнекамскому судебному району РТ вынесено постановление  от 10.05.17 об административном наказании в виде штрафа в размере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10000руб.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№511-363/17, №511–364/17 от 21.04.17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МАУ    ДО «ЦД(Ю)ТТ»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Гл. бухгалтер Михеева Е.Н.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 11 по Нижнекамскому судебному району РТ вынесено постановление  от 10.05.17 об административном наказании в виде штрафа в размере 10000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17.05.17 № А65–11046/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Арбитражный суд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МАУ ДО «ЦД(Ю)ТТ»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МАУ ДО «ЦД(Ю)ТТ»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Нарушение законодательства РФ об индивидуальном (персонифицированном) учете в системе обязательного пенсионного страхования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C97C38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15500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22.05.17 №А04–648/ 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антимонопольной службы по Республике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МАУ ДО «ЦД(Ю)ТТ»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Хайдаров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Р. 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Административный штраф за нарушение законодательства РФ о размещении заказов на поставки товаров, выполнение работ, оказание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C97C38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50000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№025/2017-КМ</w:t>
            </w:r>
          </w:p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№026/2017-КМ, от 27.03.17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«ДЭБЦ»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Галявеева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Г.И.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 4 по Нижнекамскому судебному району РТ вынесено постановление  от 05.05.17 об административном наказании в виде штрафа в размере 10000руб.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9C52D3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№27/2017-КМ,</w:t>
            </w:r>
          </w:p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28/2017-КМ от 27.03.2017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«ДЭБЦ»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Главный бухгалтер Макарова Л.Ф.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Протокол о совершении административного правонарушения, предусмотренного ч. 1 ст.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15.11 Кодекса РФ об административных правонарушениях – нарушение требований к бухгалтерскому учету, в том числе к бухгал</w:t>
            </w:r>
            <w:r w:rsidR="009C52D3" w:rsidRPr="00B413AA">
              <w:rPr>
                <w:rFonts w:ascii="Times New Roman" w:hAnsi="Times New Roman"/>
                <w:sz w:val="18"/>
                <w:szCs w:val="18"/>
              </w:rPr>
              <w:t>терской (финансовой отчетности)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Мировым судьей судебного участка № 4 по Нижнекамскому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судебному району РТ вынесено постановление  от 05.05.17 об административном наказании в виде штрафа в размере 10000руб.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№037/2017-КМ, 038/2017-КМ от 27.03.2017г.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«ЦДТ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Директор Кузнецова В.С.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</w:t>
            </w:r>
            <w:r w:rsidR="009C52D3" w:rsidRPr="00B413AA">
              <w:rPr>
                <w:rFonts w:ascii="Times New Roman" w:hAnsi="Times New Roman"/>
                <w:sz w:val="18"/>
                <w:szCs w:val="18"/>
              </w:rPr>
              <w:t>терской (финансовой отчетности)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 1 по Нижнекамскому судебному району РТ вынесено постановление  от 05.05.17 об административном наказании в виде штрафа в размере 10000руб.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№043/2017-КМ, 044/2017-КМ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«ЦДТ «Радуга»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Главный бухгалтер Сафарова Р.Г.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</w:t>
            </w:r>
            <w:r w:rsidR="009C52D3" w:rsidRPr="00B413AA">
              <w:rPr>
                <w:rFonts w:ascii="Times New Roman" w:hAnsi="Times New Roman"/>
                <w:sz w:val="18"/>
                <w:szCs w:val="18"/>
              </w:rPr>
              <w:t>терской (финансовой отчетности)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 1 по Нижнекамскому судебному району РТ вынесено постановление  от 05.05.17 об административном наказании в виде штрафа в размере 10000руб.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9C52D3">
        <w:trPr>
          <w:trHeight w:val="98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№018/2017-КМ,</w:t>
            </w:r>
          </w:p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№017/2017-КМ 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ЦДОдд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Директор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Мухачева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Н.А.</w:t>
            </w:r>
          </w:p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№3 по Нижнекамскому судебному району РТ вынесено постановление  от 03.05.17 об административном наказании в виде штрафа в размере 10000руб.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№020/2017-КМ,</w:t>
            </w:r>
          </w:p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№019/2017-КМ 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ЦДОдд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Главный бухгалтер Боткина С.В.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 3 по Нижнекамскому судебному району РТ вынесено постановление  от 03.05.17 об административном наказании в виде штрафа в размере 10000руб.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«ДМХШ «Мечта»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Директор Игошина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В.В..</w:t>
            </w:r>
            <w:proofErr w:type="gramEnd"/>
          </w:p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№2 по Нижнекамскому судебному району РТ вынесено постановление  от 24.04.17 об административном наказании в виде штрафа в размере 10000руб.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9C52D3">
        <w:trPr>
          <w:trHeight w:val="98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МКУ «Контрольно-счетная палата муниципального образования «Нижнекамский муниципальный район»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МБУ ДО «ДМХШ «Мечта»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Главный бухгалтер Валеева Г.А.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tabs>
                <w:tab w:val="left" w:pos="2280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Протокол о совершении административного правонарушения, предусмотренного ч. 1 ст. 15.11 Кодекса РФ об административных правонарушениях – нарушение требований к бухгалтерскому учету, в том числе к бухгалтерской (финансовой отчетности).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Мировым судьей судебного участка № 2 по Нижнекамскому судебному району РТ вынесено постановление  от 24.04.2017 об административном наказании в виде штрафа в размере 10000руб.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26.04.2017г. № 242 / 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№11» НМР 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Муниципальное бюджетное дошкольное образовательное учреждение «детский сад общеразвивающего вида №11» НМР 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привлечено к ответственности за совершения административного правонарушения, предусмотренного частью 1 статьи 6.7. КоАП РФ, (рацион питания не соответствует утвержденному примерному меню,  повторяемость блюд, в групповой №2 не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достаточное количество стульев, количество комплектов белья не соответствует количеству детей, допускается использование разделочных досок с трещинами, посуда с поврежденной эмалью, в помещениях групп №7 (спальня), группа №3 (игровая), гр. №6 (спальня), гр. №4 (группа, приемная) – следы подтеков, музыкальный зал (течь кровли), в 2016 году не проводился производственный контроль, контроль качества песка).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13AA">
              <w:rPr>
                <w:rFonts w:ascii="Times New Roman" w:eastAsia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413AA">
              <w:rPr>
                <w:rFonts w:ascii="Times New Roman" w:eastAsia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Решение суда от 02.05.2017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Отдел надзорной деятельности и профилактической работы по Нижнекамскому муниципальному району УНД и ПР МЧС России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№35»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заведующего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по  рассмотрению материалов административного дела № 335-2017-68 от 13.02.2017 года, возбужденного по части 13 статьи 19.5 Кодекса Российской Федерации, по неисполнению предписания № 50/1/1-5 от 02.02.2015 года (Пункт 5 Коридоры, лестничные клетки второго этажа покрыты материалом (линолеум) с неисследованными показателями пожарной опасности.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5000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 2586 от 30.03.2017г.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МАДОУ «Центр развития ребенка детский сад № 92 «Ладушки»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Заведующую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за совершении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следующих административных правонарушений: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- в составленном договоре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фФБУЗ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«Центр гигиены и эпидемиологии РТ в Нижнекамском районе и г. Нижнекамска обслуживание объектов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по профилактике и борьбе с инфекционными заболеваниями на виды работ объема площадей занижены, а именно: площадь обработки открытой территории занижена на 2920кв.м., что является нарушением ст.11,29, Федерального Закона РФ № 52-ФЗ от 30 марта 1999г. «О санитарно-эпидемиологическом благополучии населения»; Постановления Кабинета Министров РТ от 01.06.2015г. №392 «О неотложных мера по борьбе с грызунами и профилактике природно-очаговых инфекционных заболеваний в РТ», п.3.3 СП 3.5.3.3223-14 «Санитарно-эпидемиологические требования к организации и проведению дератизации мероприятий».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-при изучении экспертного заключения № 6805 от 13.04.2017г выполненный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фФБУЗ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«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Центр  гигиены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и эпидемиологии в РТ  в Нижнекамском районе и г.  Нижнекамск входящий № 1638 от 14.04.2017г. установлено: отсутствует металлическая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сетка  в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местах выхода вентиляционных отверстий, что является нарушением п.3.8 СП 3.5.3.3223-14» «Санитарно-эпидемиологические требования к организации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и проведению 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дератизационных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мероприятий»;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-не своевременно пройдено гигиеническое обучение сотрудницей Рашитовой З.Ф.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,  очередной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срок прохождения 10.03.2017, что является нарушением  ст.36 Федерального Закона РФ № 52-ФЗ от 30 марта 1999г. «О санитарно-эпидемиологическом благополучии населения»; Распоряжение КМ РТ от 29.07.2014г. №1464-р «Об утверждении перечня должностных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лиц  и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работников организации, подлежащих профессиональной  гигиенической подготовке и аттестации», п.20.1. СанПиН 2.4.1.3049-13 «Санитарно- эпидемиологические требования к устройству, содержанию и организации режима работы дошкольных образовательных организаций», (далее СанПиН 2.4.1.3049-13);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-в расписании занятий групп №12,3,6,42,10,9 перерыв  между периодами  непрерывной  образовательной деятельности  составляет 5 минут, по санитарным требованиям перерыв  должен быть не менее 10 минут, что является нарушением п.11.11</w:t>
            </w:r>
            <w:r w:rsidR="009C52D3" w:rsidRPr="00B413AA">
              <w:rPr>
                <w:rFonts w:ascii="Times New Roman" w:hAnsi="Times New Roman"/>
                <w:sz w:val="18"/>
                <w:szCs w:val="18"/>
              </w:rPr>
              <w:t xml:space="preserve"> СанПиН 2.4.1.3049-13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9C52D3">
        <w:trPr>
          <w:trHeight w:val="98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МАДОУ «Центр развития ребенка детский сад № 92 «Ладушки»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Заместителя заведующего по АХР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за совершении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следующих административных правонарушений: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-обеспеченность из расчета на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одного  ребенка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составляет: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наматрасниками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1,2 комплекта, постельными  принадлежностями 2,7 комплекта, что является нарушением п.17.14.  СанПиН 2.4.1.3049-13 «Санитарно-эпидемиологические требования к устройству, содержанию и организации режима работы дошкольных образовательных организации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»,  (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>далее СанПиН 2.4.1.3049-13);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-ревизия и контроль эффективности работы вентиляционных систем проводился в 2014г., что является нарушением п.8.1. СанПиН 2.4.1.3049-13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A36A08" w:rsidRPr="00B413AA">
              <w:rPr>
                <w:rFonts w:ascii="Times New Roman" w:hAnsi="Times New Roman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МАДОУ «Центр развития ребенка детский сад № 92 «Ладушки»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за совершении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следующих административных правонарушений: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- при изучении бракеража готовых блюд и кулинарных изделии обнаружена повторяемость блюд: 04.04.17г., 05.04.17г.,06.04.17г  компот из сухофруктов, 03.04.17г. для детей с пищевой аллергией икра морковная,04.04.17г. для других детей пюре из моркови,05.04.17г. для детей с пищевой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аллергией икра морковная, что является нарушением п.15.5 СанПиН 2.4.1.3049-13»Санитарно-эпидемиологические требования к устройству, содержанию и организации  режима работы дошкольных образовательных  организации», (далее СанПиН 2.4.1.3049-13);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 отбор суточной пробы холодных закусок, первых блюд, гарниров осуществляется в количество 50гр, по санитарным требованиям не менее 100гр, что является нарушением п.14.24. СанПиН 2.4.1.3049-13;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-технологическая карта на рис отварной подготовлена с нарушением санитарных требований, а именно после приготовления рис промывают водой, что является нарушен</w:t>
            </w:r>
            <w:r w:rsidR="009C52D3" w:rsidRPr="00B413AA">
              <w:rPr>
                <w:rFonts w:ascii="Times New Roman" w:hAnsi="Times New Roman"/>
                <w:sz w:val="18"/>
                <w:szCs w:val="18"/>
              </w:rPr>
              <w:t>ием п.15.5 СанПиН 2.4.1.3049-13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559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</w:t>
            </w:r>
            <w:r w:rsidR="00A36A08" w:rsidRPr="00B413AA">
              <w:rPr>
                <w:rFonts w:ascii="Times New Roman" w:hAnsi="Times New Roman"/>
                <w:sz w:val="18"/>
                <w:szCs w:val="18"/>
              </w:rPr>
              <w:t xml:space="preserve">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МАДОУ «Центр развития ребенка детский сад № 92 «Ладушки»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за совершении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следующих административных правонарушений: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-допущенных реализации продукты питания с нарушением требований санитарных правил, а именно: на складе обнаружены пищевые продукты без документов, подтверждающих их качество и безопасность: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-рис дата выработки 21.01.2017г.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производитель: фирма ООО «Агрокомплекс» им. Н.И. Ткачева, Россия, Краснодарский край,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Выселковский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район,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ст-ца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Выселки. ул. Степная, д.1, остаток на складе 25кг.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-яйцо куриное дата выработки 30.03.2017г. производитель: ООО «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Вятско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-Полянская птицефабрика» г.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Вятска-Полянск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>, Кировская область, ул. Деповская, д.32, остаток на складе 146шт.отсутствует ветеринарное свидетельство: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-огурцы с зеленью в заливке в 3л. Банке дата выработки 30.06.2016г. производитель: ООО АПК «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Кенже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», г. Нальчик ул.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Камеская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. д.4. 3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банкипо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3л. с ржавыми крышками, что является нарушением п. п.14.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1.п.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>14.25. приложение №9 СанПиН 2.4.1.3049-13 «Санитарно-эпидемиологические требования к устройству, содержанию и организации режима работы дошкольных образовательных организации», (далее СанПиН 2.4.1.3049-13);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-для приготовления блюд для детей использованы продукты питания без документов, подтверждающих их качества   и безопасность с нарушением требованием санитарных правил, а именно: 9 партий яйца куриного, 7 партий кур, 1 партий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сосисок, что является нарушением п.14.1. СанПиН 2.4.1.3049-13;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МАДОУ «Центр развития ребенка детский сад № 92 «Ладушки»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за совершении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следующих административных правонарушений: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-в групповых помещениях посуда моется с нарушением санитарных правил, смена воды осуществляется дважды при мытье бокалов, столовых приборов, тарелок, что является нарушением п.13.14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(далее СанПиН 2.4.1.3049-13);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-в групповых помещениях журнал регистрации и контроля работы бактерицидной лампы ведется не по форме не осуществляется учет выработки ресурсов и срока замены бактерицидных ламп, что является нарушением п.8 Р 3.5.1904-04 «Использование ультрафиолетового бактерицидного излучения для обеззараживания воздуха в помещениях»;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-в группе №2 индивидуальных шкафах для детей обнаружены лекарственные препараты, что является нарушением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п. 18.1 СанПиН 2.4.1.3049-13;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-в групповых помещениях санитарно-технические приборы (сиденья на унитазах, ручки сливных бачков, ручки дверей) после обеззараживания дезинфицирующим средством 0,03% «Ника-Хлор» не смывается водой, что является нарушением п. 17.5. СанПиН 2.4.1.3049-13;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-емкости с рабочими растворами дезинфицирующих средств не имеют четкие надписи или этикетки с указанием средства, его концентрации, назначения, даты приготовления, предельного срока годности, нарушением п.11.3 СанПиН 2.1.3.2630-10 «Санитарно-эпидемиологические требования к организациям, осуществляющим медицинскую деятельность».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284/28 от  10.05.2017г.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28»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 к административной ответственности  за совершение административного правонарушения, предусмотренного частью 1 статьи 6.7 Кодекса РФ, (группа № 1 — потолок в туалетной со следами затопления, побелка висит хлопьями, отслоилась и потрескалась; группа № 10 — краска на стенах и потолок в групповой, спальне и туалетной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отслоилась и потрескалась; группа № 8 — краска на стенах и потолок в группой и туалетной отслоилась и потрескалась; группа № 11 — краска на стенах и потолок в групповой и туалетной отслоилась и потрескалась; группа № 4 — краска на стенах и потолок в групповой и туалетной отслоилась и потрескалась; санузел для персонала и возле него коридор — краска на стенах и потолок в групповой и туалетной отслоилась и потрескалась; пищеблок и в складском помещении  - краска на потолке потрескалась, музыкальный зал со следами сильного затопления, побелка висит хлопьями, отслоилась и потрескалась; почти во всех группах требуется замена изношенных оконных рам, что затрудняет проведение уборки влажным способом и дезинфекцию; в группе № 5, 7, 4 допускается использование столовой посуды с отбитыми краями, в группе № 4  - эмалированная посуда с поврежденной эмалью; в старших и подготовительных группах № 1, 10, 8 детские унитазы установлены в не закрывающихся кабинетах; в 2015 г. полная замена песка на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игровых площадках не проводилась; в группе № 10 — 90% шкафчиков для верхней одежды детей в раздевальне не промаркированы; в группе № 10 -  в туалетной на осветительном приборе отсутствует плафон; в группе № 11 — в тамбуре на осветительном приборе отсутствует плафон; в группе № 11 — допускается использование переносного обогревательного прибора).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283/28 от 10.05.2017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28»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привлечен к административной ответственности  за совершение административного правонарушения, предусмотренного частью 1 статьи 6.7 Кодекса РФ, (обнаружены макаронные изделия «Янтарные» рожки с истекшим сроком годности в количестве 0,3 кг)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9C52D3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№ 293/28 от 10.05.2017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 28»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привлечена к административной ответственности  за совершение административного правонарушения, предусмотренного частью 1 статьи 6.7 Кодекса РФ, (на пищеблоке обнаружены живые особи вредных членистоногих (тараканы), в течении суток мероприятия по дезинсекции не проведены; на пищеблоке чистая кухонная посуда хранится на стеллаже на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высоте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меннее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0,35 м от пола; выдача готовой пищи на обед проведена без проведения бракеража; иммунизация детей проводится медицинскими нестерильными смотровыми перчатками) Штраф 3000 руб.- отбор суточной пробы холодных закусок, первых блюд, гарниров осуществляется в количество 50гр, по санитарным требованиям не менее 100гр, что является нарушением п.14.24. СанПиН 2.4.1.3049-13;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-технологическая карта на рис отварной подготовлена с нарушением санитарных требований, а именно после приготовления рис промывают водой, что является нарушен</w:t>
            </w:r>
            <w:r w:rsidR="009C52D3" w:rsidRPr="00B413AA">
              <w:rPr>
                <w:rFonts w:ascii="Times New Roman" w:hAnsi="Times New Roman"/>
                <w:sz w:val="18"/>
                <w:szCs w:val="18"/>
              </w:rPr>
              <w:t>ием п.15.5 СанПиН 2.4.1.3049-13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10 мая 2017 г. №285/28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МАДОУ « Детский сад общеразвивающего вида№ 86»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привлечена к административной ответственности по ч.1 ст.6.7.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Кодекса  РФ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об административных правонарушениях: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1- количество детей в группе №2 (от 3-х до 7 лет) превышает санитарно - эпидемиологические нормы: количество детей по списку 26 детей, индивидуальных шкафчиков всего 25, общая площадь игровой комнаты 49,2 кв.м.; площадь игровой комнаты на одного ребенка составляет 1,9 кв. м при норме не менее 2,0 кв.м.;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общая площадь игровой комнаты составляет 49,2 кв.м., не является нарушением п. 1.9, 20.1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от 15.05.2013г.;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2- количество детей в группе №11 (дети раннего возраста до 3-х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лет)  превышает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санитарно- эпидемиологические нормы: количество детей по списку 27 детей, общая площадь игровой комнаты 44,0 кв.м.; площадь игровой комнаты на одного ребенка составляет 1,6 кв. м при норме не менее 2,5 кв.м., что  является нарушением п. 1.9 СанПиН 2.4.1.3049-13;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3- количество детей в группе №7 (от 3-х до 7 лет) превышает санитарно- эпидемиологические нормы: количество детей по списку 25 детей, индивидуальных шкафчиков всего 24, общая площадь игровой комнаты 47,2 кв.м.; площадь игровой комнаты на одного ребенка составляет 1,8 кв. м при норме не менее 2,0 кв.м.,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что  является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нарушением п. 1.9, 20.1 СанПиН 2.4.1.3049-13;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4- количество детей в группе №10 (от 3-х до 7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лет) превышает санитарно - эпидемиологические нормы: количество детей по списку 24 детей, общая площадь игровой комнаты 45,3 кв.м.; площадь игровой комнаты на одного ребенка составляет 1,8 кв. м при норме не менее 2,0 кв.м.,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что  является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нарушением п. 1.9, 20.1 СанПиН 2.4.1.3049-13;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5- согласно оборотной ведомости по нефинансовым активам в наличии имеется пододеяльников в количестве 382ед. (1,4 комплекта на ребенка), простыни 405 ед. (1,5 комплекта на ребенка),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наматрасников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459 ед. (1,9 комплекта на ребенка), полотенце махровое 534 ед. (1,9 комплекта на ребенка), полотенце для ног 280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ед.( 1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>,03 комплекта на ребенка), что  является нарушением п. 17.14, 20.1 СанПиН 2.4.1.3049-13;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6- в 2016 году контроль за эффективностью работы вентиляционных систем не проводился (должно быть не реже 1 раза в год) предоставлен технический отчет по результатам накладки и проверки эффективности систем вентиляции от 11. 08.2015г. исполнитель ИП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Гиззатуллин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С.М.,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что  является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нарушением п. 8.1 п. 20.1 СанПиН 2.4.1.3049-13; ст. 24 ФЗ № 52-ФЗ от 30.03. 1999г. «О санитарно-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эпидемиологическом благополучии населения»;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7- в группе № 7, 1, 11 из 8 осветительных приборов 1 не работает, что является п.7. 8, 20.1 СанПиН 2.4.1.3049-13;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8- в группе № 12 светорассеивающая арматура (плафон) у 2-х светильников деформирована, с трещинами, что является п.7. 10, 20.1 СанПиН 2.4.1.3049-13;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9- в игровой комнате группы №12, в приемной и игровой комнате группы №5, в группе №2,  в группе №1, в приемной группы №7, в игровой группы №8, в группе №6 линолеум не подведен под плинтус, в группе №8 линолеум разошелся по шву, в группе № 10, в игровой и приемной группы №6 линолеум порван, не подведен под плинтус, в группе №9 линолеум разошелся по шву, не подведен под плинтус, что затрудняет проведение влажной уборки с использованием моющих и дезинфицирующих средств, в нарушение п.5.5., 20.1 СанПиН 2.4.1.3049-13;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10- в складском помещении побелка на потолке и на стенах в трещинах, на кухне краска на потолке и на стенах местами в трещинах, в раздевалке для работников пищеблока побелка на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стенах и потолке в трещинах, в группе № 12 в туалете обнаружены старые следы течи кровли разрушена побелка, в группе №5 в туалете местами отлетела облицовочная плитка, краска на потолке и на стенах в трещинах, в группе №2 краска на потолке и  на стенах в трещинах, в группе №1 в приемной побелка на потолке в трещинах, в спальне на стенах облупилась, в группе №7 в буфетной и в спальне краска на стенах и на потолке в трещинах облупилась, в прачечной краска на потолке и  на стенах в трещинах, в спортивном зале после демонтажа 2-х осветительных приборов остались не заделанные отверстия в потолке, в группе №11 побелка на потолке и краска на стенах в трещинах, в группе №8 в буфетной отлетела облицовочная плитка, в туалете затоплен потолок, в группе №4 краска на потолке и на стенах в трещинах, в группе №9 в игровой побелка на потолке в трещинах, в спальне старые следы течи кровли без нарушения побелки, в холле 2- этажа старые следы течи кровли, с нарушением побелки, в лестничных пролетах побелка на потолке и на стенах в трещинах, что 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является нарушением п. 5.1.,  п. 20.1 СанПиН 2.4.1.3049-13; ст. 24, ч.1 ст. 28 ФЗ № 52-ФЗ от 30.03. 1999г. «О санитарно - эпидемиологическом благополучии населения»;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11-обнаружены старые следы течи кровли: в коридоре бассейна, в раздевалке сауны, в душевых отделениях, в туалетах, в кабинете неотложной помощи бассейна, разрушена побелка на потолке, потолок почернел,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что  является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нарушением  ст. 24 ФЗ № 52-ФЗ от 30.03. 1999г. «О санитарно - эпидемиологическом благополучии населения»;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12- на прогулочных верандах (теневых навесов), полы деревянные неровные, доски деформированы, прогнившие, что  является нарушением п. 3.10. СанПиН 2.4.1.3049-13.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418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39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10 мая  2017 г. №287/28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МАДОУ « Детский сад общеразвивающего вида№ 86»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старшая медицинской сестра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по ч.1 ст.6.7.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Кодекса  РФ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об административных правонарушениях: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1- не проводится обработка обеденных столов дезинфицирующими средствами, не проводится дезинфекция ветоши для мытья посуды и столов во время карантина, что является нарушением п 8.4. СП 3.1.1.3108-13 «Профилактика острых кишечных инфекций»,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п.п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>. 13.17., 17.8 СанПиН 2.4.1.3049-13 «Санитарно - эпидемиологические требования к устройству, содержанию и организации режима работы дошкольных образовательных учреждений» от15. 05. 2013;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2- 25.04.2017г. в карантинную группу №11 приняты Ефремова К.Ю. 19.02. 2014г.р., Соловьева Е.А. 10.03.2015г.р., не контактирующие с больным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Сахабутдиновым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И.И., что является нарушением п. 6.1, 6.13 СП 3.1.1.3108-13 «Профилактика острых кишечных инфекций», п. 17.8 СанПиН 2.4.1.3049-13 «Санитарно - эпидемиологические требования к устройству, содержанию и организации режима работы дошкольных образовательных учреждений» от15. 05. 2013;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9C52D3">
        <w:trPr>
          <w:trHeight w:val="98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10 мая 2017 г. №275/28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МАДОУ « Детский сад общеразвивающего вида№ 86»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Заместитель заведующего по АХР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по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ч.1 ст.6.7.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Кодекса  РФ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об административных правонарушениях: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1- из двух имеющихся пластиковых контейнера для сбора мусора и пищевых отходов 1 контейнер, разбитый с нарушением целостности, что является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нарушением  п.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3.18, 20.1  СанПиН 2.4.1.3049-13, ст. 11.ФЗ от 24.06. 1998г. №89-ФЗ «Об отходах производства и потребления».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C97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1500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9C52D3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10 мая 2017 г. №286/28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МАДОУ « Детский сад общеразвивающего вида№ 86»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по ч.1 ст.6.7.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Кодекса  РФ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об административных правонарушениях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1- в пищеблоке металлический инвентарь после мытья не прокаливается в духовом шкафу, что является нарушением п. 13.12., 20.1 СанПиН 2.4.1.3049-13 «Санитарно - эпидемиологические требования к устройству, содержанию и организации режима работы дошкольных образовательных учреждений» от15. 05. 2013;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2- допускается выдача готовой пищи после проведения контроля бракеража 2-мя членами комиссии: в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бракеражном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журнале готовой продукции одним из членов </w:t>
            </w:r>
            <w:proofErr w:type="spellStart"/>
            <w:r w:rsidRPr="00B413AA">
              <w:rPr>
                <w:rFonts w:ascii="Times New Roman" w:hAnsi="Times New Roman"/>
                <w:sz w:val="18"/>
                <w:szCs w:val="18"/>
              </w:rPr>
              <w:t>бракеражной</w:t>
            </w:r>
            <w:proofErr w:type="spell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комиссии (заведующей) подпись ставится один раз в сутки за все приемы пищи, что является нарушением п. 14.23, 20.1 СанПиН 2.4.1.3049-13.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10 мая 2017 г. №288/28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МАДОУ « Детский сад общеразвивающего вида№ 86»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кладовщик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по ч.1 ст.6.7. </w:t>
            </w:r>
            <w:proofErr w:type="gramStart"/>
            <w:r w:rsidRPr="00B413AA">
              <w:rPr>
                <w:rFonts w:ascii="Times New Roman" w:hAnsi="Times New Roman"/>
                <w:sz w:val="18"/>
                <w:szCs w:val="18"/>
              </w:rPr>
              <w:t>Кодекса  РФ</w:t>
            </w:r>
            <w:proofErr w:type="gramEnd"/>
            <w:r w:rsidRPr="00B413AA">
              <w:rPr>
                <w:rFonts w:ascii="Times New Roman" w:hAnsi="Times New Roman"/>
                <w:sz w:val="18"/>
                <w:szCs w:val="18"/>
              </w:rPr>
              <w:t xml:space="preserve"> об административных правонарушениях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 xml:space="preserve">- крупа, мука, макаронные изделия хранятся в складском помещении в заводской упаковке на подтоварниках на расстоянии от пола менее 15см, и плотную со стенами помещения, что является нарушением п. </w:t>
            </w: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14.6 СанПиН 2.4.1.3049-13 «Санитарно - эпидемиологические требования к устройству, содержанию и организации режима работы дошкольных образовательных учреждений» от15. 05. 2013;</w:t>
            </w:r>
          </w:p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 на свежие яблоки не сохранен ярлык до конца реализации продукции, что является нарушением п. 14.1 СанПиН 2.4.1.3049-13.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3000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A36A08" w:rsidRPr="00B413AA" w:rsidTr="00826794">
        <w:trPr>
          <w:trHeight w:val="1275"/>
        </w:trPr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tabs>
                <w:tab w:val="left" w:pos="228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8D4C6C" w:rsidP="00C97C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Управление Пенсионного фонда РФ в Нижнекамском районе и г. Нижнекамск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964F5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Cs/>
                <w:sz w:val="18"/>
                <w:szCs w:val="18"/>
              </w:rPr>
              <w:t>МБДОУ « Детский сад компенсирующего вида с приоритетным осуществлением квалифицированной коррекции детей с нарушением  зрения № 70» НМР 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Cs/>
                <w:sz w:val="18"/>
                <w:szCs w:val="18"/>
              </w:rPr>
              <w:t xml:space="preserve">МБДОУ « Детский сад компенсирующего вида с приоритетным осуществлением квалифицированной коррекции детей с нарушением  </w:t>
            </w:r>
            <w:bookmarkStart w:id="0" w:name="_GoBack"/>
            <w:bookmarkEnd w:id="0"/>
            <w:r w:rsidRPr="00B413AA">
              <w:rPr>
                <w:rFonts w:ascii="Times New Roman" w:hAnsi="Times New Roman"/>
                <w:bCs/>
                <w:sz w:val="18"/>
                <w:szCs w:val="18"/>
              </w:rPr>
              <w:t>зрения № 70» НМР 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C97C38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bCs/>
                <w:sz w:val="18"/>
                <w:szCs w:val="18"/>
              </w:rPr>
              <w:t>привлечено к ответственности за совершение административного правонарушения, предусмотренного частью 3 статьи 17 Федерального закона от 01 апреля 1996г № 27-ФЗ «Об индивидуальном (персонифицированном) учете в системе обязательного пенсионного страхования за ФЗ_27 статьей 11 п.2.2 (несвоевременность).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C97C38" w:rsidP="00C97C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Оплачен штраф 42500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6A08" w:rsidRPr="00B413AA" w:rsidRDefault="00A36A08" w:rsidP="0082679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13AA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B413AA" w:rsidRDefault="00C40521">
      <w:pPr>
        <w:rPr>
          <w:sz w:val="18"/>
          <w:szCs w:val="18"/>
        </w:rPr>
      </w:pPr>
    </w:p>
    <w:sectPr w:rsidR="00C40521" w:rsidRPr="00B413AA" w:rsidSect="009C52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08"/>
    <w:rsid w:val="005403DA"/>
    <w:rsid w:val="008D4C6C"/>
    <w:rsid w:val="00964F5E"/>
    <w:rsid w:val="009C52D3"/>
    <w:rsid w:val="00A36A08"/>
    <w:rsid w:val="00B413AA"/>
    <w:rsid w:val="00C40521"/>
    <w:rsid w:val="00C9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C878"/>
  <w15:docId w15:val="{BDAA4220-44D5-4692-A58C-9771D21F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26</Pages>
  <Words>5634</Words>
  <Characters>32118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408 Иванова</cp:lastModifiedBy>
  <cp:revision>9</cp:revision>
  <dcterms:created xsi:type="dcterms:W3CDTF">2017-11-15T13:44:00Z</dcterms:created>
  <dcterms:modified xsi:type="dcterms:W3CDTF">2017-11-16T10:57:00Z</dcterms:modified>
</cp:coreProperties>
</file>